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0AD32" w14:textId="77777777" w:rsidR="00CE61DF" w:rsidRPr="00CE61DF" w:rsidRDefault="00CE61DF" w:rsidP="00CE61DF">
      <w:pPr>
        <w:spacing w:after="0" w:line="360" w:lineRule="atLeast"/>
        <w:textAlignment w:val="baseline"/>
        <w:outlineLvl w:val="2"/>
        <w:rPr>
          <w:rFonts w:ascii="Times" w:eastAsia="Times New Roman" w:hAnsi="Times" w:cs="Times New Roman"/>
          <w:b/>
          <w:bCs/>
          <w:color w:val="000000"/>
          <w:sz w:val="27"/>
          <w:szCs w:val="27"/>
          <w:lang w:eastAsia="hr-HR"/>
        </w:rPr>
      </w:pPr>
      <w:r w:rsidRPr="00CE61DF">
        <w:rPr>
          <w:rFonts w:ascii="Times" w:eastAsia="Times New Roman" w:hAnsi="Times" w:cs="Times New Roman"/>
          <w:b/>
          <w:bCs/>
          <w:color w:val="000000"/>
          <w:sz w:val="27"/>
          <w:szCs w:val="27"/>
          <w:lang w:eastAsia="hr-HR"/>
        </w:rPr>
        <w:t xml:space="preserve">NN 96/2015 (9.9.2015.), Pravilnik o provedbi mjere 01 "Prenošenje znanja i aktivnosti informiranja", </w:t>
      </w:r>
      <w:proofErr w:type="spellStart"/>
      <w:r w:rsidRPr="00CE61DF">
        <w:rPr>
          <w:rFonts w:ascii="Times" w:eastAsia="Times New Roman" w:hAnsi="Times" w:cs="Times New Roman"/>
          <w:b/>
          <w:bCs/>
          <w:color w:val="000000"/>
          <w:sz w:val="27"/>
          <w:szCs w:val="27"/>
          <w:lang w:eastAsia="hr-HR"/>
        </w:rPr>
        <w:t>podmjere</w:t>
      </w:r>
      <w:proofErr w:type="spellEnd"/>
      <w:r w:rsidRPr="00CE61DF">
        <w:rPr>
          <w:rFonts w:ascii="Times" w:eastAsia="Times New Roman" w:hAnsi="Times" w:cs="Times New Roman"/>
          <w:b/>
          <w:bCs/>
          <w:color w:val="000000"/>
          <w:sz w:val="27"/>
          <w:szCs w:val="27"/>
          <w:lang w:eastAsia="hr-HR"/>
        </w:rPr>
        <w:t xml:space="preserve"> 1.1. "Potpora za strukovno osposobljavanje i aktivnosti za stjecanje vještina", tip operacije 1.1.1. "Strukovno osposobljavanje za višestruku sukladnost, paket mjera poljoprivreda, okoliš i klimatske promjene, ekološki uzgoj" i tip operacije 1.1.2. "Strukovno osposobljavanje za poljoprivrednike" iz Programa ruralnog razvoja Republike Hrvatske za razdoblje 2014. - 2020. 34</w:t>
      </w:r>
    </w:p>
    <w:p w14:paraId="12414FA7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b/>
          <w:bCs/>
          <w:color w:val="000000"/>
          <w:sz w:val="40"/>
          <w:szCs w:val="40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40"/>
          <w:szCs w:val="40"/>
          <w:lang w:eastAsia="hr-HR"/>
        </w:rPr>
        <w:t>MINISTARSTVO POLJOPRIVREDE</w:t>
      </w:r>
    </w:p>
    <w:p w14:paraId="6E997023" w14:textId="77777777" w:rsidR="00CE61DF" w:rsidRPr="00CE61DF" w:rsidRDefault="00CE61DF" w:rsidP="00CE61DF">
      <w:pPr>
        <w:spacing w:after="225" w:line="240" w:lineRule="auto"/>
        <w:jc w:val="right"/>
        <w:textAlignment w:val="baseline"/>
        <w:rPr>
          <w:rFonts w:ascii="Minion Pro" w:eastAsia="Times New Roman" w:hAnsi="Minion Pro" w:cs="Calibri"/>
          <w:b/>
          <w:b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6"/>
          <w:szCs w:val="26"/>
          <w:lang w:eastAsia="hr-HR"/>
        </w:rPr>
        <w:t>1853</w:t>
      </w:r>
    </w:p>
    <w:p w14:paraId="0F6FF0F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Na temelju članka 10. stavka 9. Zakona o poljoprivredi (»Narodne novine« br. 30/15) ministar poljoprivrede donosi</w:t>
      </w:r>
    </w:p>
    <w:p w14:paraId="547B1BB3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b/>
          <w:bCs/>
          <w:color w:val="000000"/>
          <w:sz w:val="36"/>
          <w:szCs w:val="36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36"/>
          <w:szCs w:val="36"/>
          <w:lang w:eastAsia="hr-HR"/>
        </w:rPr>
        <w:t>PRAVILNIK</w:t>
      </w:r>
    </w:p>
    <w:p w14:paraId="11E28D2E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b/>
          <w:bCs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8"/>
          <w:szCs w:val="28"/>
          <w:lang w:eastAsia="hr-HR"/>
        </w:rPr>
        <w:t>O PROVEDBI MJERE 01 »PRENOŠENJE ZNANJA I AKTIVNOSTI INFORMIRANJA«, PODMJERE 1.1. »POTPORA ZA STRUKOVNO OSPOSOBLJAVANJE I AKTIVNOSTI ZA STJECANJE VJEŠTINA«, TIP OPERACIJE 1.1.1. »STRUKOVNO OSPOSOBLJAVANJE ZA VIŠESTRUKU SUKLADNOST, PAKET MJERA POLJOPRIVREDA, OKOLIŠ I KLIMATSKE PROMJENE, EKOLOŠKI UZGOJ« I TIP OPERACIJE 1.1.2. »STRUKOVNO OSPOSOBLJAVANJE ZA POLJOPRIVREDNIKE« IZ PROGRAMA RURALNOG RAZVOJA REPUBLIKE HRVATSKE ZA RAZDOBLJE 2014. – 2020.</w:t>
      </w:r>
    </w:p>
    <w:p w14:paraId="3B4EC772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I. OPĆE ODREDBE</w:t>
      </w:r>
    </w:p>
    <w:p w14:paraId="584640EC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7"/>
          <w:szCs w:val="27"/>
          <w:lang w:eastAsia="hr-HR"/>
        </w:rPr>
        <w:t>Sadržaj Pravilnika</w:t>
      </w:r>
    </w:p>
    <w:p w14:paraId="1A3575C7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1.</w:t>
      </w:r>
    </w:p>
    <w:p w14:paraId="0FF4172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Ovim se Pravilnikom utvrđuju način i uvjeti provedbe mjere 01 »Prenošenje znanja i aktivnosti informiranja«, (u daljnjem tekstu: mjera 01),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podmjere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1.1. »Potpora za strukovno osposobljavanje i aktivnosti za stjecanje vještina« (u daljnjem tekstu: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podmjera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1.1.), tip operacije 1.1.1. »Strukovno osposobljavanje za višestruku sukladnost, paket mjera poljoprivreda, okoliš i klimatske promjene, ekološki 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uzgoj« (u daljnjem tekstu: tip operacije 1.1.1.) i tip operacije 1.1.2. »Strukovno osposobljavanje za poljoprivrednike« (u daljnjem tekstu: tip operacije 1.1.2.) iz Programa ruralnog razvoja Republike Hrvatske za razdoblje 2014. – 2020. (u daljnjem tekstu: Program).</w:t>
      </w:r>
    </w:p>
    <w:p w14:paraId="222A08EB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Upravljačko tijelo i operativna provedba</w:t>
      </w:r>
    </w:p>
    <w:p w14:paraId="41A4E49B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2.</w:t>
      </w:r>
    </w:p>
    <w:p w14:paraId="6DE2E1D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Upravljačko tijelo Programa je Ministarstvo poljoprivrede (u daljnjem tekstu: Ministarstvo), sukladno članku 10. stavku 8. Zakona o poljoprivredi.</w:t>
      </w:r>
    </w:p>
    <w:p w14:paraId="33FF565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Operativnu provedbu Programa obavlja Agencija za plaćanja u poljoprivredi, ribarstvu i ruralnom razvoju (u daljnjem tekstu: Agencija za plaćanja), sukladno članku 14. stavku 1. Zakona o poljoprivredi.</w:t>
      </w:r>
    </w:p>
    <w:p w14:paraId="65A0220B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Pojmovnik</w:t>
      </w:r>
    </w:p>
    <w:p w14:paraId="4B46E30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3.</w:t>
      </w:r>
    </w:p>
    <w:p w14:paraId="7981488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Pojedini pojmovi u smislu ovoga Pravilnika imaju sljedeće značenje:</w:t>
      </w:r>
    </w:p>
    <w:p w14:paraId="6FC77472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1. Tip operacije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 je skup aktivnosti ili pojedinačnih projekata koji doprinose ostvarivanju ciljeva jednog ili više prioriteta na koje se odnose iz Programa koji je usklađen s ciljevima i prioritetima politike ruralnog razvoja Europske unije.</w:t>
      </w:r>
    </w:p>
    <w:p w14:paraId="51CB35B8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2. Prihvatljivi troškovi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 su troškovi koji mogu biti financirani iz Programa.</w:t>
      </w:r>
    </w:p>
    <w:p w14:paraId="7BD8BADE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3. Sudionik izobrazbe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 je fizička osoba kojoj je korisnik mjere pružio uslugu izobrazbe u sklopu nekog tipa operacije ove mjere.</w:t>
      </w:r>
    </w:p>
    <w:p w14:paraId="4485CD7C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4. Indirektni troškovi 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su troškovi koji su definirani u članku 68. stavku 1. točki b Uredbe (EU) br. 1303/2013 Europskog parlamenta i Vijeća od 17. prosinca 2013. o utvrđivanju zajedničkih odredbi o Europskom fondu za regionalni razvoj, Europskom socijalnom fondu, Kohezijskom fondu, Europskom poljoprivrednom fondu za ruralni razvoj i Europskom fondu za pomorstvo i ribarstvo i o utvrđivanju općih odredbi o Europskom fondu za regionalni razvoj, Europskom socijalnom fondu, Kohezijskom fondu i Europskom fondu za pomorstvo i ribarstvo te o stavljanju izvan snage Uredbe Vijeća (EZ) br. 1083/2006 (SL L 347, 20. 12. 2013.) (u daljnjem tekstu Uredba (EU) br. 1303/2013).</w:t>
      </w:r>
    </w:p>
    <w:p w14:paraId="5C28EB2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Ostali pojmovi u smislu ovoga Pravilniku imaju jednako značenje kao pojmovi u Uredbi (EU) br. 1305/2013 Europskog parlamenta i Vijeća od 17. prosinca 2013. o potpori ruralnom razvoju iz Europskog poljoprivrednog fonda za ruralni razvoj (EPFRR) i stavljanju izvan snage Uredbe Vijeća (EZ) br. 1698/2005 (SL L 347, 20. 12. 2013.).</w:t>
      </w:r>
    </w:p>
    <w:p w14:paraId="28D33B7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Sastavni dijelovi</w:t>
      </w:r>
    </w:p>
    <w:p w14:paraId="4A9C684B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4.</w:t>
      </w:r>
    </w:p>
    <w:p w14:paraId="6D59E3F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Sastavni dijelovi ovoga Pravilnika su:</w:t>
      </w:r>
    </w:p>
    <w:p w14:paraId="2C8AF84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Prilog I. – Kvartalno izvješće o provedenim programima osposobljavanja</w:t>
      </w:r>
    </w:p>
    <w:p w14:paraId="6A62D61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Prilog II. – Godišnje izvješće o provedenim programima osposobljavanja</w:t>
      </w:r>
    </w:p>
    <w:p w14:paraId="6CBD041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Prilog III. – Označavanje ulaganja.</w:t>
      </w:r>
    </w:p>
    <w:p w14:paraId="2A526289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II. TIPOVI OPERACIJE, VRSTA POTPORE, UVJETI PRIHVATLJIVOSTI</w:t>
      </w:r>
    </w:p>
    <w:p w14:paraId="359AF192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9"/>
          <w:szCs w:val="29"/>
          <w:bdr w:val="none" w:sz="0" w:space="0" w:color="auto" w:frame="1"/>
          <w:lang w:eastAsia="hr-HR"/>
        </w:rPr>
        <w:t>Tipovi operacija</w:t>
      </w:r>
    </w:p>
    <w:p w14:paraId="143232A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5.</w:t>
      </w:r>
    </w:p>
    <w:p w14:paraId="64CED90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(1) U okviru mjere 01,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podmjere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1.1. potpora se dodjeljuje kroz sljedeće tipove operacija:</w:t>
      </w:r>
    </w:p>
    <w:p w14:paraId="6E680A7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tip operacije 1.1.1. Strukovno osposobljavanje za višestruku sukladnost, paket mjera poljoprivreda, okoliš i klimatske promjene, ekološki uzgoj</w:t>
      </w:r>
    </w:p>
    <w:p w14:paraId="2866C19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tip operacije 1.1.2. Strukovno osposobljavanje za poljoprivrednike</w:t>
      </w:r>
    </w:p>
    <w:p w14:paraId="091E6F0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Potpora se ne odnosi na poduke ili obuke koje čine sastavni dio uobičajenih obrazovnih programa i koje su dio redovitog obrazovanja na srednjoškolskoj i višoj razini.</w:t>
      </w:r>
    </w:p>
    <w:p w14:paraId="6F96A5A7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Tip operacije 1.1.1.</w:t>
      </w:r>
    </w:p>
    <w:p w14:paraId="015DDB67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6.</w:t>
      </w:r>
    </w:p>
    <w:p w14:paraId="08B6A8E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Planirane aktivnosti u okviru ovoga tipa operacije usmjerene su na pružanje osnovnog i dopunskog znanja iz područja poljoprivrede i okoliša korisnicima mjere 10 »Poljoprivreda okoliš i klimatski promjene« (u daljnjem tekstu: mjera 10) i mjere 11 »Ekološki uzgoj« (u daljnjem tekstu: mjera 11) iz Programa.</w:t>
      </w:r>
    </w:p>
    <w:p w14:paraId="627A7F6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Sudionici izobrazbe iz stavka 1. ovoga članka u obvezi su završiti program osposobljavanja.</w:t>
      </w:r>
    </w:p>
    <w:p w14:paraId="1075B34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(3) Ostali zainteresirani poljoprivrednici i privatni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šumoposjednici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mogu dobrovoljno sudjelovati na ponuđenim temama programa osposobljavanja.</w:t>
      </w:r>
    </w:p>
    <w:p w14:paraId="0E6C40E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(4) Popis tema programa osposobljavanja u tipu operacije 1.1.1. određuje se godišnjim provedbenim planom programa osposobljavanja sukladno potrebama korisnika mjere 10 i mjere 11.</w:t>
      </w:r>
    </w:p>
    <w:p w14:paraId="6A03A786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(5) Teme programa osposobljavanja iz stavka 4. ovoga članka obuhvaćaju jedno od sljedećih područja:</w:t>
      </w:r>
    </w:p>
    <w:p w14:paraId="293EC14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provedba mjere 10</w:t>
      </w:r>
    </w:p>
    <w:p w14:paraId="678AB05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provedba mjere 11</w:t>
      </w:r>
    </w:p>
    <w:p w14:paraId="4E9AEB3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obveze višestruke sukladnosti</w:t>
      </w:r>
    </w:p>
    <w:p w14:paraId="283F7ED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4. utjecaj poljoprivrede na klimatske promjene i njihovo ublažavanje</w:t>
      </w:r>
    </w:p>
    <w:p w14:paraId="26F2E03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5. integrirana zaštita bilja</w:t>
      </w:r>
    </w:p>
    <w:p w14:paraId="4E90887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6. održivo upravljanje tlom, vodom, gnojivima i pesticidima</w:t>
      </w:r>
    </w:p>
    <w:p w14:paraId="19CFA84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7. Natura 2000 ili</w:t>
      </w:r>
    </w:p>
    <w:p w14:paraId="4E767E7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8. druga područja koja su navedena u Programu.</w:t>
      </w:r>
    </w:p>
    <w:p w14:paraId="32DF2FB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(6) Sudioniku izobrazbe koji završi program osposobljavanja Savjetodavna služba izdaje potvrdu o završenom programu osposobljavanja.</w:t>
      </w:r>
    </w:p>
    <w:p w14:paraId="3736631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(7) Sudionik izobrazbe može sudjelovati samo jedanput na određenoj temi programa osposobljavanja.</w:t>
      </w:r>
    </w:p>
    <w:p w14:paraId="3C831FA6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Tip operacije 1.1.2.</w:t>
      </w:r>
    </w:p>
    <w:p w14:paraId="0D61FE0C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7.</w:t>
      </w:r>
    </w:p>
    <w:p w14:paraId="035BC49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Planirane aktivnosti u okviru ovoga tipa operacije usmjerene su na pružanje potrebnih znanja poljoprivrednicima o održivoj i učinkovitoj poljoprivrednoj praksi, modernizaciji i tehnološkom napretku te ekonomskoj učinkovitosti gospodarstva i marketingu.</w:t>
      </w:r>
    </w:p>
    <w:p w14:paraId="7290969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Program osposobljavanja za sudionike izobrazbe utvrđen je u trajanju do 60 nastavnih sati, pri čemu se nastavnim satom smatra izvođenje nastave (predavanja) u trajanju od 45 minuta.</w:t>
      </w:r>
    </w:p>
    <w:p w14:paraId="2FEED7C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Minimalno 30 % sadržaja predviđenog programom osposobljavanja obavezno se provodi kroz vježbe i primjere iz prakse.</w:t>
      </w:r>
    </w:p>
    <w:p w14:paraId="78D7F55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(4) Popis tema programa osposobljavanja u tipu operacije 1.1.2. određuje se godišnjim provedbenim planom programa osposobljavanja, sukladno potrebama sudionika izobrazbe</w:t>
      </w:r>
    </w:p>
    <w:p w14:paraId="0FEB9F2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(5) Teme programa osposobljavanja iz stavka 4. ovoga članka obuhvaćaju jedno od sljedećih područja:</w:t>
      </w:r>
    </w:p>
    <w:p w14:paraId="5D44D2D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1.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bilinogojstvo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(ratarstvo, voćarstvo, vinogradarstvo i vinarstvo, povrćarstvo, cvjećarstvo, začinsko i ljekovito bilje, ukrasne dendrološke vrste)</w:t>
      </w:r>
    </w:p>
    <w:p w14:paraId="345A374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stočarstvo</w:t>
      </w:r>
    </w:p>
    <w:p w14:paraId="0406CA0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mehanizacija u poljoprivredi ili</w:t>
      </w:r>
    </w:p>
    <w:p w14:paraId="13821DD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4.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agroekonomika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.</w:t>
      </w:r>
    </w:p>
    <w:p w14:paraId="01C018D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(6) Sudioniku izobrazbe koji završi program osposobljavanja Savjetodavna služba izdaje potvrdu o završenom programu osposobljavanja.</w:t>
      </w:r>
    </w:p>
    <w:p w14:paraId="41852E5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(7) Sudionik izobrazbe može sudjelovati samo jedanput na određenoj temi programa osposobljavanja.</w:t>
      </w:r>
    </w:p>
    <w:p w14:paraId="2D4EC73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Vrsta potpore</w:t>
      </w:r>
    </w:p>
    <w:p w14:paraId="423CBDFA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8.</w:t>
      </w:r>
    </w:p>
    <w:p w14:paraId="2F51007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Potpora se dodjeljuje u obliku bespovratnih financijskih sredstava.</w:t>
      </w:r>
    </w:p>
    <w:p w14:paraId="518C2E4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Udio javne potpore u prihvatljivim troškovima iznosi 100 % prihvatljivih troškova.</w:t>
      </w:r>
    </w:p>
    <w:p w14:paraId="09D8FB9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Da bi ostvario pravo na povrat sredstava korisnik mora zadovoljiti uvjet o minimalnom broju prijavljenih sudionika izobrazbe koji će biti propisan u javnom pozivu/natječaju.</w:t>
      </w:r>
    </w:p>
    <w:p w14:paraId="6439A65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(4) Odredba stavka 3. ovoga članka ne odnosi se na tip operacije 1.1.1.</w:t>
      </w:r>
    </w:p>
    <w:p w14:paraId="12AFAF41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Prihvatljivi korisnik</w:t>
      </w:r>
    </w:p>
    <w:p w14:paraId="78E2FAF2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9.</w:t>
      </w:r>
    </w:p>
    <w:p w14:paraId="36C207C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Korisnik je Savjetodavna služba.</w:t>
      </w:r>
    </w:p>
    <w:p w14:paraId="4CB24745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lastRenderedPageBreak/>
        <w:t>Program osposobljavanja</w:t>
      </w:r>
    </w:p>
    <w:p w14:paraId="6E650F4F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10.</w:t>
      </w:r>
    </w:p>
    <w:p w14:paraId="3609437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Savjetodavna služba dužna je izraditi program osposobljavanja.</w:t>
      </w:r>
    </w:p>
    <w:p w14:paraId="1C6DBFC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Program osposobljavanja odobrava Ministarstvo.</w:t>
      </w:r>
    </w:p>
    <w:p w14:paraId="39636B8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Program osposobljavanja sadrži detaljno razrađenu satnicu za svaku temu, uključujući i popis stručnih osoba.</w:t>
      </w:r>
    </w:p>
    <w:p w14:paraId="36209D9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(4) Uz program osposobljavanja, korisnik obavezno dostavlja dokaz o radnom statusu stručnih osoba (ugovor o radu, odnosno ponudu/pismo namjere o angažmanu vanjskih stručnjaka).</w:t>
      </w:r>
    </w:p>
    <w:p w14:paraId="1C498BC2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(5)</w:t>
      </w: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 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Stručna osoba iz stavka 4. ovoga članka mora imati završen dodiplomski/diplomski sveučilišni studij odgovarajuće struke, ovisno o tipu izobrazbe/temi iz kojeg se provodi osposobljavanje i tri godine radnog iskustva, ili srednju stručnu spremu i minimalno 15 godina profesionalnog iskustva u području vezano uz temu programa osposobljavanja.</w:t>
      </w:r>
    </w:p>
    <w:p w14:paraId="4C836146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Prihvatljivi troškovi</w:t>
      </w:r>
    </w:p>
    <w:p w14:paraId="6737A56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11.</w:t>
      </w:r>
    </w:p>
    <w:p w14:paraId="5CD22F1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(1) U provedbi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podmjere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1.1. tip operacije 1.1.1. i 1.1.2., prihvatljivi su troškovi za:</w:t>
      </w:r>
    </w:p>
    <w:p w14:paraId="0666A10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stručne osobe: plaće/naknade, putni troškovi, dnevnice i smještaj</w:t>
      </w:r>
    </w:p>
    <w:p w14:paraId="2A3BC76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pripremu i izradu materijala/nastavnih sredstava i opreme</w:t>
      </w:r>
    </w:p>
    <w:p w14:paraId="525CC58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korištenja prostora u kojem se održava program osposobljavanja</w:t>
      </w:r>
    </w:p>
    <w:p w14:paraId="4C12BE7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4. sudionike izobrazbe: troškovi puta, smještaja i osvježenja i</w:t>
      </w:r>
    </w:p>
    <w:p w14:paraId="0621765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5. indirektni troškovi.</w:t>
      </w:r>
    </w:p>
    <w:p w14:paraId="4CC6517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Sudioniku izobrazbe koji završi program osposobljavanja Savjetodavna služba isplatiti će troškove smještaja i prethodno odobrene troškove putovanja.</w:t>
      </w:r>
    </w:p>
    <w:p w14:paraId="6F2FCB85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Prihvatljivost troškova za stručne osobe</w:t>
      </w:r>
    </w:p>
    <w:p w14:paraId="179F9B3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Članak 12.</w:t>
      </w:r>
    </w:p>
    <w:p w14:paraId="6113389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Plaće/naknade za stručne osobe izračunavaju se sukladno članku 68. stavku 2. Uredbe (EU) br. 1303/2013.</w:t>
      </w:r>
    </w:p>
    <w:p w14:paraId="396FEDD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Savjetodavna služba mora osigurati najnovije dokumentirane podatke o godišnjoj bruto plaći svakog zaposlenika.</w:t>
      </w:r>
    </w:p>
    <w:p w14:paraId="16047F9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Putni troškovi, dnevnice i smještaj za stručne osobe izračunavaju se u skladu s posebnim propisima kojima se uređuje to područje.</w:t>
      </w:r>
    </w:p>
    <w:p w14:paraId="45A0857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Prihvatljivost troškova za sudionike izobrazbe</w:t>
      </w:r>
    </w:p>
    <w:p w14:paraId="3A2C5755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13.</w:t>
      </w:r>
    </w:p>
    <w:p w14:paraId="521F277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Putni troškovi sudionika izobrazbe određuju se u visini cijene putne karte autobusa, vlaka drugog razreda ili trajekta.</w:t>
      </w:r>
    </w:p>
    <w:p w14:paraId="1039633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Uslugu smještaja sudionik izobrazbe može koristiti u objektu s najviše četiri zvjezdice, a financira se smještaj na bazi polupansiona.</w:t>
      </w:r>
    </w:p>
    <w:p w14:paraId="04A0C35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Uvjeti prihvatljivosti</w:t>
      </w:r>
    </w:p>
    <w:p w14:paraId="2672086B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14.</w:t>
      </w:r>
    </w:p>
    <w:p w14:paraId="7FB9AC5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Savjetodavna služba kao korisnik 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podmjere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1.1., tip operacija 1.1.1. i 1.1.2. mora:</w:t>
      </w:r>
    </w:p>
    <w:p w14:paraId="11164E2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osigurati provedbu programa osposobljavanja sukladno ovom Pravilniku</w:t>
      </w:r>
    </w:p>
    <w:p w14:paraId="1FC18E2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osigurati odgovarajuće kapacitete u smislu kvalificiranog i stručnog osoblja te njihovu redovitu obuku</w:t>
      </w:r>
    </w:p>
    <w:p w14:paraId="5F765EE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osigurati provedbu programa osposobljavanja na cijelom području Republike Hrvatske</w:t>
      </w:r>
    </w:p>
    <w:p w14:paraId="5B23B8B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4. osigurati odgovarajuće mjesto i prostor za provedbu programa osposobljavanja</w:t>
      </w:r>
    </w:p>
    <w:p w14:paraId="0472BE9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5. prikupljati informacije o provedenom programu osposobljavanja radi ocjene uspješnosti, a u cilju daljnjeg unapređenja istog i</w:t>
      </w:r>
    </w:p>
    <w:p w14:paraId="41068CD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6. prikupljati informacije o potrebama i interesu poljoprivrednika za programom osposobljavanja.</w:t>
      </w:r>
    </w:p>
    <w:p w14:paraId="3355A96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Vanjski stručnjaci</w:t>
      </w:r>
    </w:p>
    <w:p w14:paraId="785004EA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15.</w:t>
      </w:r>
    </w:p>
    <w:p w14:paraId="30D98FE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(1) Ako Savjetodavna služba nema dovoljno stručnog osoblja za provođenje određene teme programa osposobljavanja, može ugovoriti vanjske stručnjake (pravne i fizičke osobe) sukladno posebnim propisima koji uređuju postupak javne nabave.</w:t>
      </w:r>
    </w:p>
    <w:p w14:paraId="257347F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Agencija za plaćanja obavlja administrativnu kontrolu provedbe postupka javne nabave u svim slučajevima u kojima je korisnik bio u obvezi provesti postupak javne nabave.</w:t>
      </w:r>
    </w:p>
    <w:p w14:paraId="529BE86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Ako je korisnik proveo postupak javne nabave, a Agencija za plaćanja utvrdi da dokumentacija iz provedenog postupka javne nabave nije dostavljena Agenciji za plaćanja i/ili postupak nije proveden sukladno posebnim propisima koji uređuju postupak javne nabave donijet će se odluka o odbijanju zahtjeva za financiranje.</w:t>
      </w:r>
    </w:p>
    <w:p w14:paraId="422EA66F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III. PROVEDBA PROGRAMA OSPOSOBLJAVANJA I IZVJEŠĆA</w:t>
      </w:r>
    </w:p>
    <w:p w14:paraId="12B3B7F5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9"/>
          <w:szCs w:val="29"/>
          <w:bdr w:val="none" w:sz="0" w:space="0" w:color="auto" w:frame="1"/>
          <w:lang w:eastAsia="hr-HR"/>
        </w:rPr>
        <w:t>Savjetodavna služba i Ministarstvo</w:t>
      </w:r>
    </w:p>
    <w:p w14:paraId="13A4FE5C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16.</w:t>
      </w:r>
    </w:p>
    <w:p w14:paraId="3BBEC66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Savjetodavna služba dužna je Ministarstvu dostavljati:</w:t>
      </w:r>
    </w:p>
    <w:p w14:paraId="20CEDD2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program osposobljavanja na odobrenje</w:t>
      </w:r>
    </w:p>
    <w:p w14:paraId="3B06D25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godišnje izvješće o provedenim programima osposobljavanja na obrascu iz Priloga II. ovoga Pravilnika.</w:t>
      </w:r>
    </w:p>
    <w:p w14:paraId="0FBF73A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Ministarstvo:</w:t>
      </w:r>
    </w:p>
    <w:p w14:paraId="3EC380D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odobrava program osposobljavanja</w:t>
      </w:r>
    </w:p>
    <w:p w14:paraId="6D31948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zaprima godišnje izvješće o provedenim programima osposobljavanja.</w:t>
      </w:r>
    </w:p>
    <w:p w14:paraId="221C37F8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Agencija za plaćanja i Savjetodavna služba</w:t>
      </w:r>
    </w:p>
    <w:p w14:paraId="2F9BE3A9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17.</w:t>
      </w:r>
    </w:p>
    <w:p w14:paraId="0A79979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Agencija za plaćanja:</w:t>
      </w:r>
    </w:p>
    <w:p w14:paraId="75B8995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dostavlja Savjetodavnoj službi popis korisnika mjere 10 i mjere 11</w:t>
      </w:r>
    </w:p>
    <w:p w14:paraId="45DEE476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2. obavlja financiranje utvrđenih i dokumentiranih troškova nakon izvršenih aktivnosti programa osposobljavanja</w:t>
      </w:r>
    </w:p>
    <w:p w14:paraId="12EF5E8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kontrolira sva izvješća koja je Savjetodavna služba u obvezi dostaviti.</w:t>
      </w:r>
    </w:p>
    <w:p w14:paraId="04095A5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Savjetodavna služba dostavlja Agenciji za plaćanja:</w:t>
      </w:r>
    </w:p>
    <w:p w14:paraId="75DAE55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zahtjev za financiranje s dokumentiranim troškovima po završetku aktivnosti programa osposobljavanja</w:t>
      </w:r>
    </w:p>
    <w:p w14:paraId="699DF80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kvartalno izvješće o provedenim programima osposobljavanja na obrascu iz Priloga II. ovoga Pravilnika.</w:t>
      </w:r>
    </w:p>
    <w:p w14:paraId="6C400252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IV. FINANCIRANJE</w:t>
      </w:r>
    </w:p>
    <w:p w14:paraId="6EA5FA53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9"/>
          <w:szCs w:val="29"/>
          <w:bdr w:val="none" w:sz="0" w:space="0" w:color="auto" w:frame="1"/>
          <w:lang w:eastAsia="hr-HR"/>
        </w:rPr>
        <w:t>Zahtjev za financiranje</w:t>
      </w:r>
    </w:p>
    <w:p w14:paraId="708129C7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18.</w:t>
      </w:r>
    </w:p>
    <w:p w14:paraId="262C993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Potpora se dodjeljuje temeljem kvartalnog izvješća o provedenim programima osposobljavanja i zahtjeva za financiranje u obliku bespovratnih sredstava, za provedene aktivnosti navedene u programu osposobljavanja koji je odobren od strane Ministarstva.</w:t>
      </w:r>
    </w:p>
    <w:p w14:paraId="17FF092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Savjetodavna služba svaka tri mjeseca dostavlja zahtjev za financiranje za provedene aktivnosti programa osposobljavanja zajedno s pratećom dokumentacijom koja je propisana u javnom pozivu/natječaju.</w:t>
      </w:r>
    </w:p>
    <w:p w14:paraId="2E0E26A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Savjetodavna služba podnosi Agenciji za plaćanja zahtjev za financiranje u roku od 40 dana od završetka tromjesečja za koje se podnosi zahtjev.</w:t>
      </w:r>
    </w:p>
    <w:p w14:paraId="6FECE10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(4) Obračunsko razdoblje za financiranje sredstava korisniku traje tri kalendarska mjeseca i počinje teći od početka kalendarske godine, izuzev zahtjeva za financiranje za 2015. godinu za koju korisnik podnosi zahtjev za financiranje jednokratno u roku od 40 dana nakon isteka kalendarske godine.</w:t>
      </w:r>
    </w:p>
    <w:p w14:paraId="6D82A58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(5) Zahtjev za financiranje provedenih aktivnosti sadrži prihvatljive izdatke propisane ovim Pravilnikom, a koji su vezani za aktivnosti koji su provedeni u pojedinom tromjesečju i koji su u potpunosti realizirani i plaćeni.</w:t>
      </w:r>
    </w:p>
    <w:p w14:paraId="48145AB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(6) Za nepotpuni zahtjev Agencija za plaćanja će izdati zahtjev za dopunu/obrazloženje/ispravak kojim će od korisnika tražiti dostavljanje dokumentacije/obrazloženje/ispravak koja nedostaje. Savjetodavna služba je dužna dostaviti traženu dokumentaciju/obrazloženje/ispravak u roku od deset radnih dana od dana zaprimanja zahtjeva za dopunu/obrazloženje/ispravak.</w:t>
      </w:r>
    </w:p>
    <w:p w14:paraId="4FEA283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(7) Danom zaprimanja zahtjeva za dopunu/obrazloženje/ispravak smatra se dan kada korisnik zaprimi preporučenu pošiljku.</w:t>
      </w:r>
    </w:p>
    <w:p w14:paraId="651626E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(8) Za plaćanja izvršena u stranoj valuti u svrhu odobrenja zahtjeva za financiranje obračunat će se:</w:t>
      </w:r>
    </w:p>
    <w:p w14:paraId="1DDFC3C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protuvrijednost u kunama po tečaju Europske komisije ECB, u mjesecu zaprimanja zahtjeva za financiranje iskazanom na šest decimala (navedeni tečaj se može dobiti na http://ec.europa.eu/budget/inforeuro/)</w:t>
      </w:r>
    </w:p>
    <w:p w14:paraId="2C66DBA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ako je Savjetodavna služba kupila strana sredstva plaćanja po nižem tečaju od ECB u mjesecu zaprimanja zahtjeva za financiranje iskazanom na šest decimala, isplata potpore temeljit će se na ostvarenom tečaju.</w:t>
      </w:r>
    </w:p>
    <w:p w14:paraId="0104484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(9) Ako se administrativnom kontrolom zahtjeva za financiranje utvrdi neprihvatljiv izdatak, iznos iz zahtjeva umanjuje se za iznos nepravilnog izdatka.</w:t>
      </w:r>
    </w:p>
    <w:p w14:paraId="1C561D7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(10) Agencija za plaćanja provodi kontrolu nad korisnikom.</w:t>
      </w:r>
    </w:p>
    <w:p w14:paraId="2EB45ABC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(11) Nakon provjere zahtjeva za financiranje s pripadajućom dokumentacijom Agencija za plaćanja će donijeti:</w:t>
      </w:r>
    </w:p>
    <w:p w14:paraId="5809A5BD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odluku o isplati ili</w:t>
      </w:r>
    </w:p>
    <w:p w14:paraId="0528382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odluku o odbijanju zahtjeva za financiranje.</w:t>
      </w:r>
    </w:p>
    <w:p w14:paraId="72FE6B3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(12) Agencija za plaćanja donosi odluku o odbijanju zahtjeva ako:</w:t>
      </w:r>
    </w:p>
    <w:p w14:paraId="2564B27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korisnik ne ispunjavanja propisane uvijete</w:t>
      </w:r>
    </w:p>
    <w:p w14:paraId="231E643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je aktivnost koja je predmet potpore financirana drugim sredstvima proračuna Europske unije</w:t>
      </w:r>
    </w:p>
    <w:p w14:paraId="5FF6FFD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su aktivnosti i/ili troškovi navedeni u zahtjevu za financiranje neprihvatljivi</w:t>
      </w:r>
    </w:p>
    <w:p w14:paraId="21C20352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je zahtjev za financiranje dostavljen nakon propisanog roka</w:t>
      </w:r>
    </w:p>
    <w:p w14:paraId="2B06325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je utvrđena nepravilnosti koja je ujedno i sumnja na prevaru</w:t>
      </w:r>
    </w:p>
    <w:p w14:paraId="27C4F284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– korisnik onemogući kontrolu.</w:t>
      </w:r>
    </w:p>
    <w:p w14:paraId="4998886C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lastRenderedPageBreak/>
        <w:t>Odluka o povratu sredstava</w:t>
      </w:r>
    </w:p>
    <w:p w14:paraId="7BB6623C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19.</w:t>
      </w:r>
    </w:p>
    <w:p w14:paraId="1EE3912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Agencija za plaćanja će odlukom o povratu sredstava od Savjetodavne službe zahtijevati povrat:</w:t>
      </w:r>
    </w:p>
    <w:p w14:paraId="1B45757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1. utvrđenog nepravilnog iznosa ako se nakon isplate uoči administrativna pogreška učinjena od strane Agencije za plaćanja</w:t>
      </w:r>
    </w:p>
    <w:p w14:paraId="52B740D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utvrđenog nepravilnog iznosa ako se nakon isplate utvrde nepravilno isplaćeni troškovi</w:t>
      </w:r>
    </w:p>
    <w:p w14:paraId="5B3EB126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3. ukupno isplaćenih sredstava potpore ako se nakon isplate utvrdi nepravilnost koja ujedno predstavlja sumnju na prijevaru</w:t>
      </w:r>
    </w:p>
    <w:p w14:paraId="0F1ED81F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4. ukupno isplaćenih sredstava potpore ako se nakon isplate utvrdi da su troškovi za koje je podnesen zahtjev financirani drugim sredstvima proračuna Europske unije</w:t>
      </w:r>
    </w:p>
    <w:p w14:paraId="2D55E48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5. ako aktivnost nije izvršena u skladu s ugovorom i/ili propisima koji uređuju postupak javne nabave.</w:t>
      </w:r>
    </w:p>
    <w:p w14:paraId="532C9230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Informiranje</w:t>
      </w:r>
    </w:p>
    <w:p w14:paraId="6FF12D67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20.</w:t>
      </w:r>
    </w:p>
    <w:p w14:paraId="1267ACD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Informiranje je sastavni dio projekta.</w:t>
      </w:r>
    </w:p>
    <w:p w14:paraId="2E5DDD6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Korisnik mora biti upoznat s izvorom financiranja iz kojeg će dobiti nepovratna sredstva za pružanje svojih usluga.</w:t>
      </w:r>
    </w:p>
    <w:p w14:paraId="6203FF4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Korisnik je dužan tijekom provedbe osposobljavanja osigurati ovakvu informaciju sudionicima izobrazbe i javnosti sukladno Prilogu III. ovoga Pravilnika (npr. postavljanjem informativnih ploča na istaknuto mjesto, kako bi i sudionici izobrazbe i javnost bili upoznati s činjenicom da je osposobljavanje sufinancirano kroz sustav EU potpora).</w:t>
      </w:r>
    </w:p>
    <w:p w14:paraId="4E65237B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i/>
          <w:iCs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6"/>
          <w:szCs w:val="26"/>
          <w:bdr w:val="none" w:sz="0" w:space="0" w:color="auto" w:frame="1"/>
          <w:lang w:eastAsia="hr-HR"/>
        </w:rPr>
        <w:t>Prigovori</w:t>
      </w:r>
    </w:p>
    <w:p w14:paraId="190EF39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21.</w:t>
      </w:r>
    </w:p>
    <w:p w14:paraId="6DA47DE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(1) Svi akti koji proizlaze iz ovoga Pravilnika nisu upravni akti.</w:t>
      </w:r>
    </w:p>
    <w:p w14:paraId="5A7F567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(2) Korisnik može Povjerenstvu za rješavanje po prigovorima kojeg imenuje ministar poljoprivrede podnijeti prigovor na odluke koje proizlaze iz ovog Pravilnika, i to iz:</w:t>
      </w:r>
    </w:p>
    <w:p w14:paraId="6225192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1. članka 18. stavak 11. točka 2. na odluku o odbijanju zahtjeva za financiranje</w:t>
      </w:r>
    </w:p>
    <w:p w14:paraId="4441D12B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2. članka 19. stavak 1. na odluku o povratu sredstava.</w:t>
      </w:r>
    </w:p>
    <w:p w14:paraId="2C0231B8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(3) Ostali akti proizašli iz ovoga Pravilnika su konačni i korisnik nema pravo prigovora.</w:t>
      </w:r>
    </w:p>
    <w:p w14:paraId="6B3A242D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V. ZAVRŠNA ODREDBA</w:t>
      </w:r>
    </w:p>
    <w:p w14:paraId="308AC55D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9"/>
          <w:szCs w:val="29"/>
          <w:bdr w:val="none" w:sz="0" w:space="0" w:color="auto" w:frame="1"/>
          <w:lang w:eastAsia="hr-HR"/>
        </w:rPr>
        <w:t>Stupanje na snagu</w:t>
      </w:r>
    </w:p>
    <w:p w14:paraId="56C253BB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Članak 22.</w:t>
      </w:r>
    </w:p>
    <w:p w14:paraId="781309B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Ovaj Pravilnik stupa na snagu osmoga dana od dana objave u »Narodnim novinama«.</w:t>
      </w:r>
    </w:p>
    <w:p w14:paraId="0D67C69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Klasa: 011-01/14-01/74</w:t>
      </w:r>
    </w:p>
    <w:p w14:paraId="61392E25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Urbroj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: 525-08/0461-15-18</w:t>
      </w:r>
    </w:p>
    <w:p w14:paraId="69AC253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Zagreb, 2. rujna 2015.</w:t>
      </w:r>
    </w:p>
    <w:p w14:paraId="0C1DB9A2" w14:textId="77777777" w:rsidR="00CE61DF" w:rsidRPr="00CE61DF" w:rsidRDefault="00CE61DF" w:rsidP="00CE61DF">
      <w:pPr>
        <w:spacing w:after="0" w:line="240" w:lineRule="auto"/>
        <w:ind w:left="6464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Ministar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br/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br/>
      </w: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Tihomir Jakovina, 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v. r.</w:t>
      </w:r>
    </w:p>
    <w:p w14:paraId="6B6723DC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PRILOG I.</w:t>
      </w:r>
    </w:p>
    <w:p w14:paraId="6ED7AEF9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8"/>
          <w:szCs w:val="28"/>
          <w:lang w:eastAsia="hr-HR"/>
        </w:rPr>
        <w:t>KVARTALNO IZVJEŠĆE O PROVEDENIM PROGRAMIMA OSPOSOBLJAVANJA</w:t>
      </w:r>
    </w:p>
    <w:p w14:paraId="636070A1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6"/>
          <w:szCs w:val="26"/>
          <w:bdr w:val="none" w:sz="0" w:space="0" w:color="auto" w:frame="1"/>
          <w:lang w:eastAsia="hr-HR"/>
        </w:rPr>
        <w:t>Mjera 01</w:t>
      </w:r>
    </w:p>
    <w:p w14:paraId="05CDB92B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Sveukupan opis aktivnosti programa osposobljavanja</w:t>
      </w:r>
    </w:p>
    <w:p w14:paraId="40455095" w14:textId="77777777" w:rsidR="00CE61DF" w:rsidRPr="00CE61DF" w:rsidRDefault="00CE61DF" w:rsidP="00CE61DF">
      <w:pPr>
        <w:spacing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Lista aktivnosti programa osposobljavanja provedenih tijekom referentnog razdoblja.</w:t>
      </w:r>
    </w:p>
    <w:tbl>
      <w:tblPr>
        <w:tblW w:w="1108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8"/>
        <w:gridCol w:w="1017"/>
        <w:gridCol w:w="631"/>
        <w:gridCol w:w="770"/>
        <w:gridCol w:w="3161"/>
        <w:gridCol w:w="3178"/>
      </w:tblGrid>
      <w:tr w:rsidR="00CE61DF" w:rsidRPr="00CE61DF" w14:paraId="76616D86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E31332E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Naslov- programa osposobljavanja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0853765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Tip operacije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1AABC57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Datum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5E08143F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Lokacija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76FD9488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Broj sudionika izobrazbe programa osposobljavanja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79380D41" w14:textId="77777777" w:rsidR="00CE61DF" w:rsidRPr="00CE61DF" w:rsidRDefault="00CE61DF" w:rsidP="00CE61DF">
            <w:pPr>
              <w:spacing w:after="0" w:line="240" w:lineRule="auto"/>
              <w:textAlignment w:val="baseline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i/>
                <w:iCs/>
                <w:sz w:val="20"/>
                <w:szCs w:val="20"/>
                <w:bdr w:val="none" w:sz="0" w:space="0" w:color="auto" w:frame="1"/>
                <w:lang w:eastAsia="hr-HR"/>
              </w:rPr>
              <w:t>Br. dana trajanja programa osposobljavanja (8 sati)</w:t>
            </w:r>
          </w:p>
        </w:tc>
      </w:tr>
      <w:tr w:rsidR="00CE61DF" w:rsidRPr="00CE61DF" w14:paraId="6CFCAC25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2B391B6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DE9B97A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5A7D464D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2FECEAB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544B2FAA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637079C7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  <w:tr w:rsidR="00CE61DF" w:rsidRPr="00CE61DF" w14:paraId="25C971CD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464F403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FF1F893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20D9DEF2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614A9E96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6B2D4EF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59F92A5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  <w:tr w:rsidR="00CE61DF" w:rsidRPr="00CE61DF" w14:paraId="7A395519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C1F7F3E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F614917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723DA97B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29BC161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6C567D14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D09561C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  <w:tr w:rsidR="00CE61DF" w:rsidRPr="00CE61DF" w14:paraId="00D6AB17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48293A0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20661833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7BB236A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14A468A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980FC58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45D7823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466E32B3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Stručno osoblje</w:t>
      </w:r>
    </w:p>
    <w:p w14:paraId="0C9BD05A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lastRenderedPageBreak/>
        <w:t>Navesti popis osoblja s utvrđenim plaćama (ime, naziv radnog mjesta i jedinice). Ažurirane informacije o svim promjenama trebaju biti vezane na relevantnu platnu listu.</w:t>
      </w:r>
    </w:p>
    <w:tbl>
      <w:tblPr>
        <w:tblW w:w="1113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0"/>
      </w:tblGrid>
      <w:tr w:rsidR="00CE61DF" w:rsidRPr="00CE61DF" w14:paraId="773DF6E7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5094CB09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</w:tbl>
    <w:p w14:paraId="1F35E592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Putni troškovi(stručnog osoblja)</w:t>
      </w:r>
    </w:p>
    <w:p w14:paraId="71B4CA02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Navesti sva putovanja i njihove namjene (putovanja trebaju biti naveden u odnosu na ime putnika).</w:t>
      </w:r>
    </w:p>
    <w:tbl>
      <w:tblPr>
        <w:tblW w:w="111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5"/>
      </w:tblGrid>
      <w:tr w:rsidR="00CE61DF" w:rsidRPr="00CE61DF" w14:paraId="5C92E71A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3FB6A2DE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  <w:r w:rsidRPr="00CE61DF"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  <w:t>                           </w:t>
            </w:r>
          </w:p>
        </w:tc>
      </w:tr>
    </w:tbl>
    <w:p w14:paraId="0AB8C317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Vanjske usluge, oprema i roba</w:t>
      </w:r>
    </w:p>
    <w:p w14:paraId="6D20F962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Navesti sve vanjske usluge i opremu koje su plaćene u izvještajnom razdoblju.</w:t>
      </w:r>
    </w:p>
    <w:tbl>
      <w:tblPr>
        <w:tblW w:w="1116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0"/>
      </w:tblGrid>
      <w:tr w:rsidR="00CE61DF" w:rsidRPr="00CE61DF" w14:paraId="5AA84A24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250C0F00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05312A70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Vanjske stručne osobe</w:t>
      </w:r>
    </w:p>
    <w:p w14:paraId="4A35B89E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Navesti sve vanjske stručne osobe angažirane i plaćene u razdoblju izvješćivanja.</w:t>
      </w:r>
    </w:p>
    <w:tbl>
      <w:tblPr>
        <w:tblW w:w="1116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0"/>
      </w:tblGrid>
      <w:tr w:rsidR="00CE61DF" w:rsidRPr="00CE61DF" w14:paraId="1A6741F2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9F86C81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0659936B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Navesti sve naknade isplaćene u izvještajnom razdoblju (iznos za sudionike izobrazbe)</w:t>
      </w:r>
    </w:p>
    <w:p w14:paraId="357933AF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Naknade troškova sudionika izobrazbe</w:t>
      </w:r>
    </w:p>
    <w:tbl>
      <w:tblPr>
        <w:tblW w:w="1113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0"/>
      </w:tblGrid>
      <w:tr w:rsidR="00CE61DF" w:rsidRPr="00CE61DF" w14:paraId="45672EEB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05C082D1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227FC08B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Ostali relevantni podaci</w:t>
      </w:r>
    </w:p>
    <w:tbl>
      <w:tblPr>
        <w:tblW w:w="1110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0"/>
      </w:tblGrid>
      <w:tr w:rsidR="00CE61DF" w:rsidRPr="00CE61DF" w14:paraId="1B0A0401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1A0A5FCD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6A486D9B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Datum                                                                                                                                     Potpis</w:t>
      </w:r>
    </w:p>
    <w:p w14:paraId="77A1CBF1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PRILOG II.</w:t>
      </w:r>
    </w:p>
    <w:p w14:paraId="1519C754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6"/>
          <w:szCs w:val="26"/>
          <w:bdr w:val="none" w:sz="0" w:space="0" w:color="auto" w:frame="1"/>
          <w:lang w:eastAsia="hr-HR"/>
        </w:rPr>
        <w:t>Mjera 01</w:t>
      </w:r>
    </w:p>
    <w:p w14:paraId="19008EDA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GODIŠNJE IZVJEŠĆE O PROVEDENIM PROGRAMIMA OSPOSOBLJAVANJA</w:t>
      </w:r>
    </w:p>
    <w:p w14:paraId="4574F08D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Godina:</w:t>
      </w:r>
    </w:p>
    <w:p w14:paraId="323D2345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Sveobuhvatan opis aktivnosti</w:t>
      </w:r>
    </w:p>
    <w:tbl>
      <w:tblPr>
        <w:tblW w:w="1099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CE61DF" w:rsidRPr="00CE61DF" w14:paraId="14FB27CF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6E7EE3EF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0232FDE7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Evaluacija</w:t>
      </w:r>
    </w:p>
    <w:tbl>
      <w:tblPr>
        <w:tblW w:w="1098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0"/>
      </w:tblGrid>
      <w:tr w:rsidR="00CE61DF" w:rsidRPr="00CE61DF" w14:paraId="2537CE71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79434841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68F793F3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bdr w:val="none" w:sz="0" w:space="0" w:color="auto" w:frame="1"/>
          <w:lang w:eastAsia="hr-HR"/>
        </w:rPr>
        <w:t>Druge informacije</w:t>
      </w:r>
    </w:p>
    <w:tbl>
      <w:tblPr>
        <w:tblW w:w="1099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CE61DF" w:rsidRPr="00CE61DF" w14:paraId="2C823DDB" w14:textId="77777777" w:rsidTr="00CE61DF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7CF3B561" w14:textId="77777777" w:rsidR="00CE61DF" w:rsidRPr="00CE61DF" w:rsidRDefault="00CE61DF" w:rsidP="00CE61DF">
            <w:pPr>
              <w:spacing w:after="0" w:line="240" w:lineRule="auto"/>
              <w:rPr>
                <w:rFonts w:ascii="Minion Pro" w:eastAsia="Times New Roman" w:hAnsi="Minion Pro" w:cs="Times New Roman"/>
                <w:sz w:val="20"/>
                <w:szCs w:val="20"/>
                <w:lang w:eastAsia="hr-HR"/>
              </w:rPr>
            </w:pPr>
          </w:p>
        </w:tc>
      </w:tr>
    </w:tbl>
    <w:p w14:paraId="1B8BB887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Datum                                                                                                                                            Potpis</w:t>
      </w:r>
    </w:p>
    <w:p w14:paraId="5A32CED6" w14:textId="77777777" w:rsidR="00CE61DF" w:rsidRPr="00CE61DF" w:rsidRDefault="00CE61DF" w:rsidP="00CE61DF">
      <w:pPr>
        <w:spacing w:after="0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PRILOG III.</w:t>
      </w:r>
    </w:p>
    <w:p w14:paraId="6A35BFA1" w14:textId="77777777" w:rsidR="00CE61DF" w:rsidRPr="00CE61DF" w:rsidRDefault="00CE61DF" w:rsidP="00CE61DF">
      <w:pPr>
        <w:spacing w:after="225" w:line="240" w:lineRule="auto"/>
        <w:jc w:val="center"/>
        <w:textAlignment w:val="baseline"/>
        <w:rPr>
          <w:rFonts w:ascii="Minion Pro" w:eastAsia="Times New Roman" w:hAnsi="Minion Pro" w:cs="Calibri"/>
          <w:color w:val="000000"/>
          <w:sz w:val="26"/>
          <w:szCs w:val="26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6"/>
          <w:szCs w:val="26"/>
          <w:lang w:eastAsia="hr-HR"/>
        </w:rPr>
        <w:lastRenderedPageBreak/>
        <w:t>OZNAČAVANJE ULAGANJA</w:t>
      </w:r>
    </w:p>
    <w:p w14:paraId="2B05862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Sva ulaganja koja se provode u okviru Programa ruralnog razvoja RH, a financiraju se iz Europskog poljoprivrednog fonda za ruralni razvoj (EPFRR, engl. EAFRD) trebaju biti propisno označena, u skladu s Prilogom XII. Uredbe (EU) br. 1303/2013. Označavanje ulaganja je obveza korisnika.</w:t>
      </w:r>
    </w:p>
    <w:p w14:paraId="0DF8CAB5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1. Obveze korisnika</w:t>
      </w:r>
    </w:p>
    <w:p w14:paraId="1C85463E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Tijekom provedbe programa osposobljavanja Savjetodavna služba u obvezi je propisno označiti prostor/mjesto gdje se održava program osposobljavanja, a koja je financirana iz Europskog poljoprivrednog fonda za ruralni razvoj i to putem plakata, informativne ploče ili privremenog panoa.</w:t>
      </w:r>
    </w:p>
    <w:p w14:paraId="3FE46CC0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2. Primjer označavanja ulaganja</w:t>
      </w:r>
    </w:p>
    <w:p w14:paraId="392CCC61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Plakat, informativna ploča, trajni ili privremeni pano za označavanje mjesta gdje se održava program osposobljavanja, sadržavaju sljedeće elemente:</w:t>
      </w:r>
    </w:p>
    <w:p w14:paraId="06A97BC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noProof/>
          <w:color w:val="000000"/>
          <w:sz w:val="24"/>
          <w:szCs w:val="24"/>
          <w:lang w:eastAsia="hr-HR"/>
        </w:rPr>
        <w:drawing>
          <wp:inline distT="0" distB="0" distL="0" distR="0" wp14:anchorId="2B57442C" wp14:editId="4DDF13FD">
            <wp:extent cx="3810000" cy="2286000"/>
            <wp:effectExtent l="0" t="0" r="0" b="0"/>
            <wp:docPr id="4" name="Picture 4" descr="https://narodne-novine.nn.hr/clanci/sluzbeni/full/dodatni/437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arodne-novine.nn.hr/clanci/sluzbeni/full/dodatni/43768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E79A1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b/>
          <w:bCs/>
          <w:color w:val="000000"/>
          <w:sz w:val="24"/>
          <w:szCs w:val="24"/>
          <w:bdr w:val="none" w:sz="0" w:space="0" w:color="auto" w:frame="1"/>
          <w:lang w:eastAsia="hr-HR"/>
        </w:rPr>
        <w:t>2.1. Tehničke karakteristike plakata/panoa/ploča</w:t>
      </w:r>
    </w:p>
    <w:p w14:paraId="738CE463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(a) Uz amblem (zastavu) EU-a stavlja se obavezno i zastava Republike Hrvatske:</w:t>
      </w:r>
    </w:p>
    <w:p w14:paraId="7F228E11" w14:textId="77777777" w:rsidR="00CE61DF" w:rsidRPr="00CE61DF" w:rsidRDefault="00CE61DF" w:rsidP="00CE61DF">
      <w:pPr>
        <w:spacing w:after="0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(b) Uz ove ambleme ističe se i sljedeća izjava: </w:t>
      </w: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»</w:t>
      </w: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Europski poljoprivredni fond za ruralni razvoj: Europa ulaže u ruralna područja</w:t>
      </w:r>
      <w:r w:rsidRPr="00CE61DF">
        <w:rPr>
          <w:rFonts w:ascii="Minion Pro" w:eastAsia="Times New Roman" w:hAnsi="Minion Pro" w:cs="Calibri"/>
          <w:i/>
          <w:iCs/>
          <w:color w:val="000000"/>
          <w:sz w:val="24"/>
          <w:szCs w:val="24"/>
          <w:bdr w:val="none" w:sz="0" w:space="0" w:color="auto" w:frame="1"/>
          <w:lang w:eastAsia="hr-HR"/>
        </w:rPr>
        <w:t>«.</w:t>
      </w:r>
    </w:p>
    <w:p w14:paraId="6BB115CA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lastRenderedPageBreak/>
        <w:t>(c) Oznaka obavezno sadrži i naziv fonda iz kojeg se projekt sufinancira (EPFRR), naziv projekta te iznos sufinanciranja iz proračuna EU i RH (izraženo u postotcima).</w:t>
      </w:r>
    </w:p>
    <w:p w14:paraId="039DCAB7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(d) Za aktivnosti koje se financiraju u okviru LEADER-a, oznaka sadrži i logotip LEADER-a:</w:t>
      </w:r>
    </w:p>
    <w:p w14:paraId="57768A59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(e) Minimalno 25% površine oznake (reklamnog panoa/ploče/plakata/</w:t>
      </w:r>
      <w:proofErr w:type="spellStart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banera</w:t>
      </w:r>
      <w:proofErr w:type="spellEnd"/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 xml:space="preserve"> na mrežnoj stranici) zauzimaju zastave EU i RH te obavezni tekst.</w:t>
      </w:r>
    </w:p>
    <w:p w14:paraId="79A65730" w14:textId="77777777" w:rsidR="00CE61DF" w:rsidRPr="00CE61DF" w:rsidRDefault="00CE61DF" w:rsidP="00CE61DF">
      <w:pPr>
        <w:spacing w:after="225"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(f) Ako je korisnikov projekt/ulaganje sufinancirano iz nekoliko različitih EU fondova, ne treba navoditi sve fondove izrijekom, već je dovoljno da se kaže kako je projekt/ulaganje sufinancirano iz Europskih strukturnih i investicijskih fondova (ESI).</w:t>
      </w:r>
    </w:p>
    <w:p w14:paraId="7D6BCAFD" w14:textId="77777777" w:rsidR="00CE61DF" w:rsidRPr="00CE61DF" w:rsidRDefault="00CE61DF" w:rsidP="00CE61DF">
      <w:pPr>
        <w:spacing w:line="240" w:lineRule="auto"/>
        <w:jc w:val="both"/>
        <w:textAlignment w:val="baseline"/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</w:pPr>
      <w:r w:rsidRPr="00CE61DF">
        <w:rPr>
          <w:rFonts w:ascii="Minion Pro" w:eastAsia="Times New Roman" w:hAnsi="Minion Pro" w:cs="Calibri"/>
          <w:color w:val="000000"/>
          <w:sz w:val="24"/>
          <w:szCs w:val="24"/>
          <w:lang w:eastAsia="hr-HR"/>
        </w:rPr>
        <w:t>(g) Detaljne informacije o grafičkim rješenjima oblikovanja simbola EU, dostupne su na stranici http://ec.europa.eu/europeaid/work/visibility/index_en.htm.</w:t>
      </w:r>
    </w:p>
    <w:p w14:paraId="33D674BB" w14:textId="77777777" w:rsidR="00A96575" w:rsidRDefault="00A96575">
      <w:bookmarkStart w:id="0" w:name="_GoBack"/>
      <w:bookmarkEnd w:id="0"/>
    </w:p>
    <w:sectPr w:rsidR="00A96575" w:rsidSect="00CE61D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B2E"/>
    <w:rsid w:val="00481B2E"/>
    <w:rsid w:val="00A96575"/>
    <w:rsid w:val="00CE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FD3CA-2C05-4D9F-B45C-65214B1C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3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29327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1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0304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7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6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27012">
                      <w:marLeft w:val="0"/>
                      <w:marRight w:val="0"/>
                      <w:marTop w:val="3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3125</Words>
  <Characters>17813</Characters>
  <Application>Microsoft Office Word</Application>
  <DocSecurity>0</DocSecurity>
  <Lines>148</Lines>
  <Paragraphs>41</Paragraphs>
  <ScaleCrop>false</ScaleCrop>
  <Company/>
  <LinksUpToDate>false</LinksUpToDate>
  <CharactersWithSpaces>20897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Pajač</dc:creator>
  <cp:keywords/>
  <dc:description/>
  <cp:lastModifiedBy>Martina Pajač</cp:lastModifiedBy>
  <cp:revision>2</cp:revision>
  <dcterms:created xsi:type="dcterms:W3CDTF">2021-10-22T11:27:00Z</dcterms:created>
  <dcterms:modified xsi:type="dcterms:W3CDTF">2021-10-22T11:28:00Z</dcterms:modified>
</cp:coreProperties>
</file>